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B7FE032" wp14:editId="03C8BED3">
            <wp:extent cx="2205767" cy="923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6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E75F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2E75F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2E75F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6C4C5E">
              <w:rPr>
                <w:rFonts w:eastAsia="Times New Roman" w:cs="Times New Roman"/>
                <w:sz w:val="18"/>
                <w:szCs w:val="18"/>
                <w:lang w:eastAsia="ru-RU"/>
              </w:rPr>
              <w:t>на</w:t>
            </w: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  <w:r w:rsidR="006401C5" w:rsidRPr="002E75F2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 w:rsidRPr="002E75F2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361C6F">
        <w:rPr>
          <w:rFonts w:eastAsia="Times New Roman" w:cs="Times New Roman"/>
          <w:sz w:val="20"/>
          <w:szCs w:val="18"/>
          <w:lang w:eastAsia="ru-RU"/>
        </w:rPr>
      </w:r>
      <w:r w:rsidR="00361C6F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7F77CA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sz w:val="18"/>
          <w:szCs w:val="18"/>
          <w:lang w:eastAsia="ru-RU"/>
        </w:rPr>
      </w:r>
      <w:r w:rsidR="00361C6F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7F77CA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361C6F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2E75F2" w:rsidRDefault="002E75F2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Pr="00FE5247" w:rsidRDefault="002E75F2" w:rsidP="002E75F2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7B7F54" w:rsidRPr="00FE5247" w:rsidRDefault="007B7F54" w:rsidP="007B7F54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b/>
          <w:sz w:val="18"/>
          <w:szCs w:val="18"/>
          <w:lang w:eastAsia="ru-RU"/>
        </w:rPr>
      </w:r>
      <w:r w:rsidR="00361C6F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E255AF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«Личный кабинет клиента» на следующих условиях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361C6F">
        <w:rPr>
          <w:rFonts w:eastAsia="Times New Roman" w:cs="Times New Roman"/>
          <w:b/>
          <w:sz w:val="18"/>
          <w:szCs w:val="18"/>
          <w:lang w:eastAsia="ru-RU"/>
        </w:rPr>
      </w:r>
      <w:r w:rsidR="00361C6F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Внести изменения в условия до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упа к 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:rsidR="002E75F2" w:rsidRPr="00FE5247" w:rsidRDefault="002E75F2" w:rsidP="002E75F2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FE5247">
        <w:rPr>
          <w:rFonts w:eastAsia="Calibri" w:cs="Times New Roman"/>
          <w:b/>
          <w:sz w:val="18"/>
          <w:szCs w:val="18"/>
        </w:rPr>
        <w:t xml:space="preserve">Список авторизованных пользователей и </w:t>
      </w:r>
      <w:proofErr w:type="spellStart"/>
      <w:r w:rsidRPr="00FE5247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Pr="00FE5247">
        <w:rPr>
          <w:rFonts w:eastAsia="Calibri" w:cs="Times New Roman"/>
          <w:b/>
          <w:sz w:val="18"/>
          <w:szCs w:val="18"/>
        </w:rPr>
        <w:t xml:space="preserve"> данные:</w:t>
      </w: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2634"/>
        <w:gridCol w:w="1790"/>
        <w:gridCol w:w="1842"/>
        <w:gridCol w:w="2381"/>
        <w:gridCol w:w="1418"/>
      </w:tblGrid>
      <w:tr w:rsidR="002E75F2" w:rsidRPr="00FE5247" w:rsidTr="00732C32">
        <w:tc>
          <w:tcPr>
            <w:tcW w:w="2634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FE5247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18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2E75F2" w:rsidRPr="00FE5247" w:rsidTr="00732C32">
        <w:tc>
          <w:tcPr>
            <w:tcW w:w="2634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:rsidR="002E75F2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:rsidR="00732C32" w:rsidRPr="00FE5247" w:rsidRDefault="00732C32" w:rsidP="00732C32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t xml:space="preserve"> Пр</w:t>
            </w:r>
            <w:r>
              <w:rPr>
                <w:rFonts w:eastAsia="Calibri" w:cs="Times New Roman"/>
                <w:b/>
                <w:sz w:val="18"/>
                <w:szCs w:val="18"/>
              </w:rPr>
              <w:t>екратить доступ</w:t>
            </w:r>
          </w:p>
        </w:tc>
        <w:tc>
          <w:tcPr>
            <w:tcW w:w="1418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:rsidR="002E75F2" w:rsidRPr="00FE5247" w:rsidRDefault="002E75F2" w:rsidP="00D00A96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</w:r>
            <w:r w:rsidR="00361C6F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:rsidR="00D00FE0" w:rsidRPr="00D00FE0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 xml:space="preserve">В случае, если у Клиента заключено несколько Соглашений изменения применяются в отношении всех </w:t>
      </w:r>
      <w:r w:rsidR="00D00FE0">
        <w:rPr>
          <w:rFonts w:eastAsia="Times New Roman" w:cs="Times New Roman"/>
          <w:i/>
          <w:sz w:val="18"/>
          <w:szCs w:val="18"/>
          <w:lang w:eastAsia="ru-RU"/>
        </w:rPr>
        <w:t xml:space="preserve">Соглашений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>Клиента.</w:t>
      </w:r>
    </w:p>
    <w:p w:rsidR="00A23563" w:rsidRPr="00CC5D3E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Клиентом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своему </w:t>
      </w:r>
      <w:r>
        <w:rPr>
          <w:rFonts w:eastAsia="Times New Roman" w:cs="Times New Roman"/>
          <w:i/>
          <w:sz w:val="18"/>
          <w:szCs w:val="18"/>
          <w:lang w:eastAsia="ru-RU"/>
        </w:rPr>
        <w:t>П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редставителю права подписания электронных документов электронной подписью, </w:t>
      </w:r>
      <w:r>
        <w:rPr>
          <w:rFonts w:eastAsia="Times New Roman" w:cs="Times New Roman"/>
          <w:i/>
          <w:sz w:val="18"/>
          <w:szCs w:val="18"/>
          <w:lang w:eastAsia="ru-RU"/>
        </w:rPr>
        <w:t>Клиент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предоставляет в РЕГИОН 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>доверенность,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а Представителя. </w:t>
      </w:r>
    </w:p>
    <w:p w:rsidR="00A23563" w:rsidRPr="0019641C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7"/>
          <w:lang w:eastAsia="ru-RU"/>
        </w:rPr>
      </w:pP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Доступ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Представителя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 в Систему «Личный кабинет клиента» автоматически приостанавливается в случае окончания срока действия полномочий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соответствующего Представителя.</w:t>
      </w:r>
    </w:p>
    <w:p w:rsidR="002E75F2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 w:bidi="ru-RU"/>
        </w:rPr>
      </w:pP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FE5247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FE5247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:rsidR="007B7F54" w:rsidRDefault="007B7F54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361C6F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1215A9" w:rsidRPr="00FE6AEC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Ключевая информация о договоре о брокерском обслуживании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8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:rsidR="001215A9" w:rsidRPr="00857A4C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171F63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индивидуальными инвестиционными счетами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2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1C6AB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</w:t>
      </w:r>
      <w:r w:rsidRPr="001C6AB9">
        <w:rPr>
          <w:rFonts w:eastAsia="Times New Roman" w:cs="Times New Roman"/>
          <w:sz w:val="17"/>
          <w:szCs w:val="17"/>
          <w:lang w:eastAsia="ru-RU"/>
        </w:rPr>
        <w:t xml:space="preserve"> о том, что денежные средства, зачисляемые брокером на специальный брокерский счет, не подлежат страхованию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</w:t>
      </w:r>
      <w:r w:rsidRPr="001C6AB9">
        <w:rPr>
          <w:rFonts w:eastAsia="Times New Roman" w:cs="Times New Roman"/>
          <w:sz w:val="17"/>
          <w:szCs w:val="17"/>
          <w:lang w:eastAsia="ru-RU"/>
        </w:rPr>
        <w:t>5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средств Клиента (Приложение №26.1);</w:t>
      </w:r>
    </w:p>
    <w:p w:rsidR="001215A9" w:rsidRDefault="001215A9" w:rsidP="001215A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:rsidR="001215A9" w:rsidRPr="002237F7" w:rsidRDefault="001215A9" w:rsidP="001215A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:rsidR="001215A9" w:rsidRPr="006E422F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2E75F2" w:rsidRDefault="002E75F2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E75F2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</w:t>
      </w:r>
      <w:r w:rsidRPr="002F38A8">
        <w:rPr>
          <w:rFonts w:eastAsia="Times New Roman" w:cs="Times New Roman"/>
          <w:b/>
          <w:sz w:val="20"/>
          <w:szCs w:val="17"/>
          <w:lang w:eastAsia="ru-RU"/>
        </w:rPr>
        <w:t>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17A7E" wp14:editId="1AB4E8E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95E4849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9114" wp14:editId="1F6577B9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BE6687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A450" wp14:editId="50E25C11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98B6F1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:rsidR="00BE6A68" w:rsidRDefault="00BE6A68"/>
    <w:sectPr w:rsidR="00BE6A68" w:rsidSect="002F38A8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EF" w:rsidRDefault="00B511EF">
      <w:pPr>
        <w:spacing w:after="0" w:line="240" w:lineRule="auto"/>
      </w:pPr>
      <w:r>
        <w:separator/>
      </w:r>
    </w:p>
  </w:endnote>
  <w:endnote w:type="continuationSeparator" w:id="0">
    <w:p w:rsidR="00B511EF" w:rsidRDefault="00B511EF">
      <w:pPr>
        <w:spacing w:after="0" w:line="240" w:lineRule="auto"/>
      </w:pPr>
      <w:r>
        <w:continuationSeparator/>
      </w:r>
    </w:p>
  </w:endnote>
  <w:endnote w:type="continuationNotice" w:id="1">
    <w:p w:rsidR="00F217F9" w:rsidRDefault="00F21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Pr="002E75F2" w:rsidRDefault="002E75F2" w:rsidP="002E75F2">
    <w:pPr>
      <w:pStyle w:val="a3"/>
      <w:jc w:val="right"/>
      <w:rPr>
        <w:b/>
        <w:i/>
        <w:sz w:val="20"/>
        <w:szCs w:val="20"/>
      </w:rPr>
    </w:pPr>
    <w:r w:rsidRPr="002E75F2">
      <w:rPr>
        <w:b/>
        <w:i/>
        <w:sz w:val="20"/>
        <w:szCs w:val="20"/>
      </w:rPr>
      <w:t>Подпись Клиента_______________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EF" w:rsidRDefault="00B511EF">
      <w:pPr>
        <w:spacing w:after="0" w:line="240" w:lineRule="auto"/>
      </w:pPr>
      <w:r>
        <w:separator/>
      </w:r>
    </w:p>
  </w:footnote>
  <w:footnote w:type="continuationSeparator" w:id="0">
    <w:p w:rsidR="00B511EF" w:rsidRDefault="00B511EF">
      <w:pPr>
        <w:spacing w:after="0" w:line="240" w:lineRule="auto"/>
      </w:pPr>
      <w:r>
        <w:continuationSeparator/>
      </w:r>
    </w:p>
  </w:footnote>
  <w:footnote w:type="continuationNotice" w:id="1">
    <w:p w:rsidR="00F217F9" w:rsidRDefault="00F217F9">
      <w:pPr>
        <w:spacing w:after="0" w:line="240" w:lineRule="auto"/>
      </w:pPr>
    </w:p>
  </w:footnote>
  <w:footnote w:id="2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3">
    <w:p w:rsidR="008B1ABC" w:rsidRDefault="008B1ABC" w:rsidP="008B1ABC">
      <w:pPr>
        <w:spacing w:after="0" w:line="240" w:lineRule="auto"/>
        <w:ind w:firstLine="0"/>
      </w:pPr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8B1ABC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8B1ABC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361C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30421"/>
    <w:multiLevelType w:val="hybridMultilevel"/>
    <w:tmpl w:val="04B8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9548D"/>
    <w:rsid w:val="000A2A5E"/>
    <w:rsid w:val="000B50FA"/>
    <w:rsid w:val="000D14C1"/>
    <w:rsid w:val="000D4B9C"/>
    <w:rsid w:val="000E1DDB"/>
    <w:rsid w:val="000E354B"/>
    <w:rsid w:val="000F46ED"/>
    <w:rsid w:val="001215A9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B6EB8"/>
    <w:rsid w:val="002E75F2"/>
    <w:rsid w:val="002F38A8"/>
    <w:rsid w:val="003124B2"/>
    <w:rsid w:val="003162FD"/>
    <w:rsid w:val="00330C62"/>
    <w:rsid w:val="00343FC4"/>
    <w:rsid w:val="00354B6C"/>
    <w:rsid w:val="003605DA"/>
    <w:rsid w:val="00361C6F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4720B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C4C5E"/>
    <w:rsid w:val="006E25C9"/>
    <w:rsid w:val="006E7B56"/>
    <w:rsid w:val="006F43CB"/>
    <w:rsid w:val="007046FE"/>
    <w:rsid w:val="00711AC7"/>
    <w:rsid w:val="00712DF0"/>
    <w:rsid w:val="00724216"/>
    <w:rsid w:val="00732C32"/>
    <w:rsid w:val="007926F4"/>
    <w:rsid w:val="00793A04"/>
    <w:rsid w:val="007B4A3C"/>
    <w:rsid w:val="007B5E4D"/>
    <w:rsid w:val="007B7F54"/>
    <w:rsid w:val="007D0ED2"/>
    <w:rsid w:val="007F1CB8"/>
    <w:rsid w:val="007F7460"/>
    <w:rsid w:val="007F77CA"/>
    <w:rsid w:val="00801471"/>
    <w:rsid w:val="00807148"/>
    <w:rsid w:val="00812533"/>
    <w:rsid w:val="008362CA"/>
    <w:rsid w:val="008425CE"/>
    <w:rsid w:val="0084541D"/>
    <w:rsid w:val="00852892"/>
    <w:rsid w:val="00853C3B"/>
    <w:rsid w:val="00873810"/>
    <w:rsid w:val="008841F6"/>
    <w:rsid w:val="008B1ABC"/>
    <w:rsid w:val="008B630E"/>
    <w:rsid w:val="008C0426"/>
    <w:rsid w:val="008D25C1"/>
    <w:rsid w:val="008E018D"/>
    <w:rsid w:val="00907DA7"/>
    <w:rsid w:val="0091020D"/>
    <w:rsid w:val="00931AA9"/>
    <w:rsid w:val="0095415A"/>
    <w:rsid w:val="009639BE"/>
    <w:rsid w:val="00965738"/>
    <w:rsid w:val="009737EF"/>
    <w:rsid w:val="00976597"/>
    <w:rsid w:val="00984EE4"/>
    <w:rsid w:val="009921C9"/>
    <w:rsid w:val="009A0001"/>
    <w:rsid w:val="009D2EB2"/>
    <w:rsid w:val="009D4627"/>
    <w:rsid w:val="009E0B53"/>
    <w:rsid w:val="009E29CC"/>
    <w:rsid w:val="009F4BD0"/>
    <w:rsid w:val="00A003B0"/>
    <w:rsid w:val="00A07C16"/>
    <w:rsid w:val="00A22DA7"/>
    <w:rsid w:val="00A23563"/>
    <w:rsid w:val="00A24AB2"/>
    <w:rsid w:val="00A305EA"/>
    <w:rsid w:val="00A4684A"/>
    <w:rsid w:val="00A63AC6"/>
    <w:rsid w:val="00A87AB6"/>
    <w:rsid w:val="00A93A56"/>
    <w:rsid w:val="00A9557C"/>
    <w:rsid w:val="00AB59F6"/>
    <w:rsid w:val="00AC3717"/>
    <w:rsid w:val="00AC7214"/>
    <w:rsid w:val="00AD5BD3"/>
    <w:rsid w:val="00AE69AC"/>
    <w:rsid w:val="00B03D6D"/>
    <w:rsid w:val="00B165CC"/>
    <w:rsid w:val="00B22CDC"/>
    <w:rsid w:val="00B35A05"/>
    <w:rsid w:val="00B511EF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5C5"/>
    <w:rsid w:val="00C457CE"/>
    <w:rsid w:val="00C52195"/>
    <w:rsid w:val="00C54AB7"/>
    <w:rsid w:val="00C65956"/>
    <w:rsid w:val="00C65BF4"/>
    <w:rsid w:val="00C718D7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00A96"/>
    <w:rsid w:val="00D00FE0"/>
    <w:rsid w:val="00D57073"/>
    <w:rsid w:val="00D707EA"/>
    <w:rsid w:val="00D70DD4"/>
    <w:rsid w:val="00D77090"/>
    <w:rsid w:val="00D93D36"/>
    <w:rsid w:val="00DB31BF"/>
    <w:rsid w:val="00DE26D0"/>
    <w:rsid w:val="00E255AF"/>
    <w:rsid w:val="00E46589"/>
    <w:rsid w:val="00E46635"/>
    <w:rsid w:val="00E50BC8"/>
    <w:rsid w:val="00E56C13"/>
    <w:rsid w:val="00E74A33"/>
    <w:rsid w:val="00E9008E"/>
    <w:rsid w:val="00EA61B1"/>
    <w:rsid w:val="00EC5416"/>
    <w:rsid w:val="00EF0F5A"/>
    <w:rsid w:val="00EF6626"/>
    <w:rsid w:val="00F05D96"/>
    <w:rsid w:val="00F217F9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B14D-1830-4053-B291-ADF6C8A9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2025-10-17T11:07:00Z</dcterms:created>
  <dcterms:modified xsi:type="dcterms:W3CDTF">2025-10-20T15:24:00Z</dcterms:modified>
</cp:coreProperties>
</file>